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362A7">
      <w:pPr>
        <w:pStyle w:val="1"/>
      </w:pPr>
      <w:r>
        <w:fldChar w:fldCharType="begin"/>
      </w:r>
      <w:r>
        <w:instrText>HYPERLINK "garantF1://18764042.0"</w:instrText>
      </w:r>
      <w:r>
        <w:fldChar w:fldCharType="separate"/>
      </w:r>
      <w:r>
        <w:rPr>
          <w:rStyle w:val="a4"/>
        </w:rPr>
        <w:t>Решение Региональной энергетической комиссии</w:t>
      </w:r>
      <w:r>
        <w:rPr>
          <w:rStyle w:val="a4"/>
        </w:rPr>
        <w:br/>
        <w:t>Тюменской о</w:t>
      </w:r>
      <w:r>
        <w:rPr>
          <w:rStyle w:val="a4"/>
        </w:rPr>
        <w:t>бласти, Ханты-Мансийского автономного округа,</w:t>
      </w:r>
      <w:r>
        <w:rPr>
          <w:rStyle w:val="a4"/>
        </w:rPr>
        <w:br/>
        <w:t>Ямало-Ненецкого автономного округа от 1 ноября 2011 г. N 222</w:t>
      </w:r>
      <w:r>
        <w:rPr>
          <w:rStyle w:val="a4"/>
        </w:rPr>
        <w:br/>
        <w:t>"Об установлении цен (тарифов) на электрическую энергию, поставляемую</w:t>
      </w:r>
      <w:r>
        <w:rPr>
          <w:rStyle w:val="a4"/>
        </w:rPr>
        <w:br/>
        <w:t>населению и приравненным к нему категориям потребителей,</w:t>
      </w:r>
      <w:r>
        <w:rPr>
          <w:rStyle w:val="a4"/>
        </w:rPr>
        <w:br/>
        <w:t>на территории Тюменско</w:t>
      </w:r>
      <w:r>
        <w:rPr>
          <w:rStyle w:val="a4"/>
        </w:rPr>
        <w:t>й области, Ханты-Мансийского</w:t>
      </w:r>
      <w:r>
        <w:rPr>
          <w:rStyle w:val="a4"/>
        </w:rPr>
        <w:br/>
        <w:t>автономного округа - Югры и Ямало-Ненецкого</w:t>
      </w:r>
      <w:r>
        <w:rPr>
          <w:rStyle w:val="a4"/>
        </w:rPr>
        <w:br/>
        <w:t>автономного округа"</w:t>
      </w:r>
      <w:r>
        <w:fldChar w:fldCharType="end"/>
      </w:r>
    </w:p>
    <w:p w:rsidR="00000000" w:rsidRDefault="008362A7">
      <w:pPr>
        <w:ind w:firstLine="720"/>
        <w:jc w:val="both"/>
      </w:pPr>
    </w:p>
    <w:p w:rsidR="00000000" w:rsidRDefault="008362A7">
      <w:pPr>
        <w:ind w:firstLine="720"/>
        <w:jc w:val="both"/>
      </w:pPr>
      <w:proofErr w:type="gramStart"/>
      <w:r>
        <w:t xml:space="preserve">В соответствии с </w:t>
      </w:r>
      <w:hyperlink r:id="rId5" w:history="1">
        <w:r>
          <w:rPr>
            <w:rStyle w:val="a4"/>
          </w:rPr>
          <w:t>Федеральным законом</w:t>
        </w:r>
      </w:hyperlink>
      <w:r>
        <w:t xml:space="preserve"> от 26.03.2003 г. N 35-ФЗ "Об электроэнергетике",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26.02.2004 N 109 "О ценообразовании в отношении электрической и тепловой энергии в Российской Федерации" и </w:t>
      </w:r>
      <w:hyperlink r:id="rId7" w:history="1">
        <w:r>
          <w:rPr>
            <w:rStyle w:val="a4"/>
          </w:rPr>
          <w:t>приказом</w:t>
        </w:r>
      </w:hyperlink>
      <w:r>
        <w:t xml:space="preserve"> Федеральной службы по тарифам от 06.10.2011 N 24</w:t>
      </w:r>
      <w:r>
        <w:t>0-э/5 "О предельных минимальных и максимальных уровнях тарифов на электрическую энергию, поставляемую населению и приравненным к нему категориям потребителей</w:t>
      </w:r>
      <w:proofErr w:type="gramEnd"/>
      <w:r>
        <w:t xml:space="preserve"> на 2012 год", Региональная энергетическая комиссия Тюменской области, Ханты-Мансийского автономног</w:t>
      </w:r>
      <w:r>
        <w:t>о округа, Ямало-Ненецкого автономного округа, решила:</w:t>
      </w:r>
    </w:p>
    <w:p w:rsidR="00000000" w:rsidRDefault="008362A7">
      <w:pPr>
        <w:ind w:firstLine="720"/>
        <w:jc w:val="both"/>
      </w:pPr>
      <w:bookmarkStart w:id="0" w:name="sub_1"/>
      <w:r>
        <w:t>1. Установить тарифы на электрическую энергию, поставляемую гарантирующими поставщиками, энергоснабжающими организациями, энергосбытовыми организациями населению и приравненным к нему категориям по</w:t>
      </w:r>
      <w:r>
        <w:t xml:space="preserve">требителей на территории Тюменской области, Ханты-Мансийского автономного округа - Югры и Ямало-Ненецкого автономного округа, с календарной разбивкой, согласно </w:t>
      </w:r>
      <w:hyperlink w:anchor="sub_1000" w:history="1">
        <w:r>
          <w:rPr>
            <w:rStyle w:val="a4"/>
          </w:rPr>
          <w:t>приложениям 1</w:t>
        </w:r>
      </w:hyperlink>
      <w:r>
        <w:t xml:space="preserve">, </w:t>
      </w:r>
      <w:hyperlink w:anchor="sub_2000" w:history="1">
        <w:r>
          <w:rPr>
            <w:rStyle w:val="a4"/>
          </w:rPr>
          <w:t>2</w:t>
        </w:r>
      </w:hyperlink>
      <w:r>
        <w:t>.</w:t>
      </w:r>
    </w:p>
    <w:p w:rsidR="00000000" w:rsidRDefault="008362A7">
      <w:pPr>
        <w:ind w:firstLine="720"/>
        <w:jc w:val="both"/>
      </w:pPr>
      <w:bookmarkStart w:id="1" w:name="sub_2"/>
      <w:bookmarkEnd w:id="0"/>
      <w:r>
        <w:t>2. Тарифы, устан</w:t>
      </w:r>
      <w:r>
        <w:t xml:space="preserve">овленные в </w:t>
      </w:r>
      <w:hyperlink w:anchor="sub_1" w:history="1">
        <w:r>
          <w:rPr>
            <w:rStyle w:val="a4"/>
          </w:rPr>
          <w:t>пункте 1</w:t>
        </w:r>
      </w:hyperlink>
      <w:r>
        <w:t xml:space="preserve"> настоящего решения, действуют с 01 января 2012 года.</w:t>
      </w:r>
    </w:p>
    <w:bookmarkEnd w:id="1"/>
    <w:p w:rsidR="00000000" w:rsidRDefault="008362A7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362A7">
            <w:pPr>
              <w:pStyle w:val="affd"/>
            </w:pPr>
            <w:r>
              <w:t>Председатель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362A7">
            <w:pPr>
              <w:pStyle w:val="aff3"/>
              <w:jc w:val="right"/>
            </w:pPr>
            <w:r>
              <w:t>Е.И. Делов</w:t>
            </w:r>
          </w:p>
        </w:tc>
      </w:tr>
    </w:tbl>
    <w:p w:rsidR="00000000" w:rsidRDefault="008362A7">
      <w:pPr>
        <w:ind w:firstLine="720"/>
        <w:jc w:val="both"/>
      </w:pPr>
    </w:p>
    <w:p w:rsidR="00000000" w:rsidRDefault="008362A7">
      <w:pPr>
        <w:ind w:firstLine="720"/>
        <w:jc w:val="both"/>
      </w:pPr>
      <w:bookmarkStart w:id="2" w:name="_GoBack"/>
      <w:bookmarkEnd w:id="2"/>
    </w:p>
    <w:p w:rsidR="00000000" w:rsidRDefault="008362A7">
      <w:pPr>
        <w:ind w:firstLine="698"/>
        <w:jc w:val="right"/>
      </w:pPr>
      <w:bookmarkStart w:id="3" w:name="sub_2000"/>
      <w:r>
        <w:rPr>
          <w:rStyle w:val="a3"/>
        </w:rPr>
        <w:t>Приложение N 2</w:t>
      </w:r>
    </w:p>
    <w:bookmarkEnd w:id="3"/>
    <w:p w:rsidR="00000000" w:rsidRDefault="008362A7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решению</w:t>
        </w:r>
      </w:hyperlink>
    </w:p>
    <w:p w:rsidR="00000000" w:rsidRDefault="008362A7">
      <w:pPr>
        <w:ind w:firstLine="698"/>
        <w:jc w:val="right"/>
      </w:pPr>
      <w:r>
        <w:rPr>
          <w:rStyle w:val="a3"/>
        </w:rPr>
        <w:t>РЭК</w:t>
      </w:r>
    </w:p>
    <w:p w:rsidR="00000000" w:rsidRDefault="008362A7">
      <w:pPr>
        <w:ind w:firstLine="698"/>
        <w:jc w:val="right"/>
      </w:pPr>
      <w:r>
        <w:rPr>
          <w:rStyle w:val="a3"/>
        </w:rPr>
        <w:t>от 1 ноября 2011 г. N 222</w:t>
      </w:r>
    </w:p>
    <w:p w:rsidR="00000000" w:rsidRDefault="008362A7">
      <w:pPr>
        <w:ind w:firstLine="720"/>
        <w:jc w:val="both"/>
      </w:pPr>
    </w:p>
    <w:p w:rsidR="00000000" w:rsidRDefault="008362A7">
      <w:pPr>
        <w:pStyle w:val="1"/>
      </w:pPr>
      <w:r>
        <w:t>Цены (тарифы)</w:t>
      </w:r>
      <w:r>
        <w:br/>
        <w:t>на электрическую энергию, поставляемую населению и приравненным</w:t>
      </w:r>
      <w:r>
        <w:br/>
        <w:t>к нему категориям потребителей, на территории Тюменской области,</w:t>
      </w:r>
      <w:r>
        <w:br/>
        <w:t>Ханты-Мансийского автономного округа - Югры</w:t>
      </w:r>
      <w:r>
        <w:br/>
        <w:t>и Ямало-Ненецкого автономного округа</w:t>
      </w:r>
    </w:p>
    <w:p w:rsidR="00000000" w:rsidRDefault="008362A7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1540"/>
        <w:gridCol w:w="23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Показатель (группы потреб</w:t>
            </w:r>
            <w:r>
              <w:t>ителей с разбивкой по ставкам и дифференциацией по зонам суток)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Единица измерения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Цена (тариф)</w:t>
            </w:r>
          </w:p>
          <w:p w:rsidR="00000000" w:rsidRDefault="008362A7">
            <w:pPr>
              <w:pStyle w:val="aff3"/>
              <w:jc w:val="center"/>
            </w:pPr>
            <w:r>
              <w:t>с 01.07.2012 года</w:t>
            </w:r>
          </w:p>
          <w:p w:rsidR="00000000" w:rsidRDefault="008362A7">
            <w:pPr>
              <w:pStyle w:val="aff3"/>
              <w:jc w:val="center"/>
            </w:pPr>
            <w:r>
              <w:t>по 31.12.2012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1.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Население (тарифы указаны с учетом НДС)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1.1.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Население, за исключением </w:t>
            </w:r>
            <w:proofErr w:type="gramStart"/>
            <w:r>
              <w:t>указанного</w:t>
            </w:r>
            <w:proofErr w:type="gramEnd"/>
            <w:r>
              <w:t xml:space="preserve"> в </w:t>
            </w:r>
            <w:hyperlink w:anchor="sub_2012" w:history="1">
              <w:r>
                <w:rPr>
                  <w:rStyle w:val="a4"/>
                </w:rPr>
                <w:t>пунктах 1.2</w:t>
              </w:r>
            </w:hyperlink>
            <w:r>
              <w:t xml:space="preserve"> и </w:t>
            </w:r>
            <w:hyperlink w:anchor="sub_2013" w:history="1">
              <w:r>
                <w:rPr>
                  <w:rStyle w:val="a4"/>
                </w:rPr>
                <w:t>1.3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1.1.1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Одноставочный тариф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4" w:name="sub_20112"/>
            <w:r>
              <w:t>1.1.2</w:t>
            </w:r>
            <w:bookmarkEnd w:id="4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двум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Дневная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1.1.3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Тариф, дифференцированный по трем </w:t>
            </w:r>
            <w:r>
              <w:t>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Полупиковая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5" w:name="sub_2012"/>
            <w:r>
              <w:t>1.2.</w:t>
            </w:r>
            <w:bookmarkEnd w:id="5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Население, проживающее в городских населенных пунктах в домах, оборудованных в установленном порядке стационарными </w:t>
            </w:r>
            <w:r>
              <w:t xml:space="preserve">электроплитами и (или) электроотопительными установками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1.2.1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Одноставочный тариф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6" w:name="sub_20122"/>
            <w:r>
              <w:t>1.2.2</w:t>
            </w:r>
            <w:bookmarkEnd w:id="6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двум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Дневная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1.2.3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Тариф, </w:t>
            </w:r>
            <w:r>
              <w:t>дифференцированный по трем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Полупиковая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7" w:name="sub_2013"/>
            <w:r>
              <w:t>1.3.</w:t>
            </w:r>
            <w:bookmarkEnd w:id="7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Население, проживающее в сельских населенных пунктах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1.3.1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Одноставочный тариф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8" w:name="sub_20132"/>
            <w:r>
              <w:t>1.3.2</w:t>
            </w:r>
            <w:bookmarkEnd w:id="8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двум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Дневная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1.3.3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трем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Полупиковая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2.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 xml:space="preserve">Потребители, приравненные к населению (тарифы указаны с учетом НДС)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Одноставочный тариф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bookmarkStart w:id="9" w:name="sub_2022"/>
            <w:r>
              <w:t>2.2</w:t>
            </w:r>
            <w:bookmarkEnd w:id="9"/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двум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Дневная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1"/>
            </w:pPr>
            <w:r>
              <w:t>2.3</w:t>
            </w:r>
          </w:p>
        </w:tc>
        <w:tc>
          <w:tcPr>
            <w:tcW w:w="9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1"/>
            </w:pPr>
            <w:r>
              <w:t>Тариф, дифференцированный по трем зонам суток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Полупиковая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1,94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d"/>
            </w:pPr>
            <w:r>
              <w:t>Ночная зона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руб./кВт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62A7">
            <w:pPr>
              <w:pStyle w:val="aff3"/>
              <w:jc w:val="center"/>
            </w:pPr>
            <w:r>
              <w:t>0,97</w:t>
            </w:r>
          </w:p>
        </w:tc>
      </w:tr>
    </w:tbl>
    <w:p w:rsidR="00000000" w:rsidRDefault="008362A7">
      <w:pPr>
        <w:ind w:firstLine="720"/>
        <w:jc w:val="both"/>
      </w:pPr>
    </w:p>
    <w:p w:rsidR="00000000" w:rsidRDefault="008362A7">
      <w:pPr>
        <w:ind w:firstLine="720"/>
        <w:jc w:val="both"/>
      </w:pPr>
      <w:r>
        <w:rPr>
          <w:rStyle w:val="a3"/>
        </w:rPr>
        <w:t>Примечание:</w:t>
      </w:r>
    </w:p>
    <w:p w:rsidR="00000000" w:rsidRDefault="008362A7">
      <w:pPr>
        <w:ind w:firstLine="720"/>
        <w:jc w:val="both"/>
      </w:pPr>
      <w:bookmarkStart w:id="10" w:name="sub_2001"/>
      <w:r>
        <w:t xml:space="preserve">1. </w:t>
      </w:r>
      <w:hyperlink r:id="rId8" w:history="1">
        <w:r>
          <w:rPr>
            <w:rStyle w:val="a4"/>
          </w:rPr>
          <w:t>Перечень</w:t>
        </w:r>
      </w:hyperlink>
      <w:r>
        <w:t xml:space="preserve"> категорий потребителей, которые приравнены к населению и которым электрическая энергия (мощность) поставляется по регулируемым ценам (тарифам), утвержден </w:t>
      </w:r>
      <w:hyperlink r:id="rId9" w:history="1">
        <w:r>
          <w:rPr>
            <w:rStyle w:val="a4"/>
          </w:rPr>
          <w:t>приказом</w:t>
        </w:r>
      </w:hyperlink>
      <w:r>
        <w:t xml:space="preserve"> Федеральной службы по тарифам от 31 декабря 2010 года N </w:t>
      </w:r>
      <w:r>
        <w:t>655-э.</w:t>
      </w:r>
    </w:p>
    <w:p w:rsidR="00000000" w:rsidRDefault="008362A7">
      <w:pPr>
        <w:ind w:firstLine="720"/>
        <w:jc w:val="both"/>
      </w:pPr>
      <w:bookmarkStart w:id="11" w:name="sub_2002"/>
      <w:bookmarkEnd w:id="10"/>
      <w:r>
        <w:t>2. Интервалы тарифных зон суток для расчетов по тарифам, дифференцированным по зонам суток, определены ФСТ России.</w:t>
      </w:r>
    </w:p>
    <w:bookmarkEnd w:id="11"/>
    <w:p w:rsidR="008362A7" w:rsidRDefault="008362A7">
      <w:pPr>
        <w:ind w:firstLine="720"/>
        <w:jc w:val="both"/>
      </w:pPr>
    </w:p>
    <w:sectPr w:rsidR="008362A7" w:rsidSect="0074796A">
      <w:pgSz w:w="11900" w:h="16800"/>
      <w:pgMar w:top="851" w:right="800" w:bottom="568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6A"/>
    <w:rsid w:val="0074796A"/>
    <w:rsid w:val="0083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basedOn w:val="a3"/>
    <w:uiPriority w:val="99"/>
    <w:rPr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Pr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Pr>
      <w:shd w:val="clear" w:color="auto" w:fill="D4D0C8"/>
    </w:rPr>
  </w:style>
  <w:style w:type="character" w:customStyle="1" w:styleId="aff1">
    <w:name w:val="Не вступил в силу"/>
    <w:basedOn w:val="a3"/>
    <w:uiPriority w:val="99"/>
    <w:rPr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Pr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basedOn w:val="a3"/>
    <w:uiPriority w:val="99"/>
    <w:rPr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Pr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Pr>
      <w:shd w:val="clear" w:color="auto" w:fill="D4D0C8"/>
    </w:rPr>
  </w:style>
  <w:style w:type="character" w:customStyle="1" w:styleId="aff1">
    <w:name w:val="Не вступил в силу"/>
    <w:basedOn w:val="a3"/>
    <w:uiPriority w:val="99"/>
    <w:rPr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Pr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070418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90623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86793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5656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550704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3708</Characters>
  <Application>Microsoft Office Word</Application>
  <DocSecurity>0</DocSecurity>
  <Lines>30</Lines>
  <Paragraphs>8</Paragraphs>
  <ScaleCrop>false</ScaleCrop>
  <Company>НПП "Гарант-Сервис"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Юлия Иванова</cp:lastModifiedBy>
  <cp:revision>2</cp:revision>
  <dcterms:created xsi:type="dcterms:W3CDTF">2012-06-19T04:51:00Z</dcterms:created>
  <dcterms:modified xsi:type="dcterms:W3CDTF">2012-06-19T04:51:00Z</dcterms:modified>
</cp:coreProperties>
</file>